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18" w:lineRule="auto"/>
        <w:ind w:left="1390" w:firstLine="0"/>
        <w:rPr>
          <w:sz w:val="33"/>
          <w:szCs w:val="33"/>
        </w:rPr>
      </w:pPr>
      <w:r w:rsidDel="00000000" w:rsidR="00000000" w:rsidRPr="00000000">
        <w:rPr>
          <w:color w:val="383838"/>
          <w:sz w:val="33"/>
          <w:szCs w:val="33"/>
          <w:rtl w:val="0"/>
        </w:rPr>
        <w:t xml:space="preserve">CONSENTIMIENTO INEQUÍVOCO POR PARTE DEL AFECTADO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" w:line="240" w:lineRule="auto"/>
        <w:ind w:left="9174" w:right="0" w:firstLine="0"/>
        <w:jc w:val="left"/>
        <w:rPr>
          <w:color w:val="383838"/>
          <w:sz w:val="21"/>
          <w:szCs w:val="21"/>
        </w:rPr>
      </w:pPr>
      <w:r w:rsidDel="00000000" w:rsidR="00000000" w:rsidRPr="00000000">
        <w:rPr>
          <w:color w:val="383838"/>
          <w:sz w:val="21"/>
          <w:szCs w:val="21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38"/>
          <w:sz w:val="21"/>
          <w:szCs w:val="21"/>
          <w:u w:val="none"/>
          <w:shd w:fill="auto" w:val="clear"/>
          <w:vertAlign w:val="baseline"/>
          <w:rtl w:val="0"/>
        </w:rPr>
        <w:t xml:space="preserve">nero </w:t>
      </w:r>
      <w:r w:rsidDel="00000000" w:rsidR="00000000" w:rsidRPr="00000000">
        <w:rPr>
          <w:color w:val="383838"/>
          <w:sz w:val="21"/>
          <w:szCs w:val="21"/>
          <w:rtl w:val="0"/>
        </w:rPr>
        <w:t xml:space="preserve">2023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5" w:lineRule="auto"/>
        <w:ind w:left="100" w:right="120" w:firstLine="0"/>
        <w:jc w:val="both"/>
        <w:rPr>
          <w:color w:val="383838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5" w:lineRule="auto"/>
        <w:ind w:left="100" w:right="12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383838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38"/>
          <w:sz w:val="20"/>
          <w:szCs w:val="20"/>
          <w:u w:val="none"/>
          <w:shd w:fill="auto" w:val="clear"/>
          <w:vertAlign w:val="baseline"/>
          <w:rtl w:val="0"/>
        </w:rPr>
        <w:t xml:space="preserve">De acuerdo con lo establecido en el artículo 7 del Reglamento (UE) 2016/679 del Parlamento Europeo y del Consejo, de 27 de abril de 2016, relativo a la protección de las personas físicas en lo que respecta al tratamiento de datos personales y a la libre circulación de estos datos, el interesado concede su consentimiento libre y expreso en el tratamiento de sus datos personales, por parte del responsable del tratamiento TYMBALS DIPERCUSION, S.C..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5" w:lineRule="auto"/>
        <w:ind w:left="100" w:right="12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383838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31.0" w:type="dxa"/>
        <w:jc w:val="left"/>
        <w:tblInd w:w="425.99999999999994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35"/>
        <w:gridCol w:w="7796"/>
        <w:tblGridChange w:id="0">
          <w:tblGrid>
            <w:gridCol w:w="2835"/>
            <w:gridCol w:w="7796"/>
          </w:tblGrid>
        </w:tblGridChange>
      </w:tblGrid>
      <w:tr>
        <w:trPr>
          <w:cantSplit w:val="0"/>
          <w:trHeight w:val="415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84" w:right="12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Datos Interesado</w:t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84" w:right="12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DNI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84" w:right="12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84" w:right="12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y Apellidos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84" w:right="12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84" w:right="12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 representación de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84" w:right="12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25" w:lineRule="auto"/>
        <w:ind w:left="1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38"/>
          <w:sz w:val="20"/>
          <w:szCs w:val="20"/>
          <w:u w:val="none"/>
          <w:shd w:fill="auto" w:val="clear"/>
          <w:vertAlign w:val="baseline"/>
          <w:rtl w:val="0"/>
        </w:rPr>
        <w:t xml:space="preserve">En base al derecho de información establecido en el artículo 12 del mismo RGPD y en base al artículo 11 de la LOPD GDD, se le facilita la siguiente información, puede consultar la informacion ampliada en el siguiente enlace (https://intranet.laboralrgpd.com/rgpdA/index.php?id=11866.19207).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1163.0" w:type="dxa"/>
        <w:jc w:val="left"/>
        <w:tblInd w:w="107.0" w:type="dxa"/>
        <w:tblBorders>
          <w:top w:color="e4e4e4" w:space="0" w:sz="6" w:val="single"/>
          <w:left w:color="e4e4e4" w:space="0" w:sz="6" w:val="single"/>
          <w:bottom w:color="e4e4e4" w:space="0" w:sz="6" w:val="single"/>
          <w:right w:color="e4e4e4" w:space="0" w:sz="6" w:val="single"/>
          <w:insideH w:color="e4e4e4" w:space="0" w:sz="6" w:val="single"/>
          <w:insideV w:color="e4e4e4" w:space="0" w:sz="6" w:val="single"/>
        </w:tblBorders>
        <w:tblLayout w:type="fixed"/>
        <w:tblLook w:val="0000"/>
      </w:tblPr>
      <w:tblGrid>
        <w:gridCol w:w="3349"/>
        <w:gridCol w:w="7814"/>
        <w:tblGridChange w:id="0">
          <w:tblGrid>
            <w:gridCol w:w="3349"/>
            <w:gridCol w:w="7814"/>
          </w:tblGrid>
        </w:tblGridChange>
      </w:tblGrid>
      <w:tr>
        <w:trPr>
          <w:cantSplit w:val="0"/>
          <w:trHeight w:val="391" w:hRule="atLeast"/>
          <w:tblHeader w:val="0"/>
        </w:trPr>
        <w:tc>
          <w:tcPr>
            <w:gridSpan w:val="2"/>
            <w:tcBorders>
              <w:left w:color="dddddd" w:space="0" w:sz="6" w:val="single"/>
              <w:bottom w:color="dddddd" w:space="0" w:sz="12" w:val="single"/>
              <w:right w:color="f0f0f0" w:space="0" w:sz="6" w:val="single"/>
            </w:tcBorders>
            <w:shd w:fill="808080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240" w:lineRule="auto"/>
              <w:ind w:left="3774" w:right="3786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ffff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Información Básica sobre Protección de Datos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1" w:hRule="atLeast"/>
          <w:tblHeader w:val="0"/>
        </w:trPr>
        <w:tc>
          <w:tcPr>
            <w:tcBorders>
              <w:top w:color="dddddd" w:space="0" w:sz="12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94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Responsable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ddddd" w:space="0" w:sz="12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TYMBALS DIPERCUSION, S.C.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57" w:hRule="atLeast"/>
          <w:tblHeader w:val="0"/>
        </w:trPr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240" w:lineRule="auto"/>
              <w:ind w:left="94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Finalidad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3"/>
              </w:tabs>
              <w:spacing w:after="0" w:before="63" w:line="217" w:lineRule="auto"/>
              <w:ind w:left="100" w:right="0" w:firstLine="3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Prestarles un servicio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3"/>
              </w:tabs>
              <w:spacing w:after="0" w:before="0" w:line="204" w:lineRule="auto"/>
              <w:ind w:left="100" w:right="0" w:firstLine="3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Tratamiento de datos para cursos y formaciones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3"/>
              </w:tabs>
              <w:spacing w:after="0" w:before="0" w:line="204" w:lineRule="auto"/>
              <w:ind w:left="100" w:right="0" w:firstLine="3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Publicación de datos de carácter personal en las diferentes redes sociales u otros métodos de publicación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3"/>
              </w:tabs>
              <w:spacing w:after="0" w:before="0" w:line="204" w:lineRule="auto"/>
              <w:ind w:left="100" w:right="0" w:firstLine="3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Gestión del tratamiento para actividades de la asociación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3"/>
              </w:tabs>
              <w:spacing w:after="0" w:before="0" w:line="204" w:lineRule="auto"/>
              <w:ind w:left="100" w:right="0" w:firstLine="3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Utilización de datos derivados de las actividades de la empresa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3"/>
              </w:tabs>
              <w:spacing w:after="0" w:before="0" w:line="204" w:lineRule="auto"/>
              <w:ind w:left="100" w:right="0" w:firstLine="3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Gestiones referentes a hijos o menores tutorizados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3"/>
              </w:tabs>
              <w:spacing w:after="0" w:before="7" w:line="213" w:lineRule="auto"/>
              <w:ind w:left="100" w:right="136" w:firstLine="3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Envíos de información recíproca mediante la plataforma whatsapp, sin que el Responsable pueda asegurar que dicha plataforma tome medidas de seguridad y realicen tratamientos adecuados al RGPD y la LOPDGDD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3"/>
              </w:tabs>
              <w:spacing w:after="0" w:before="0" w:line="195" w:lineRule="auto"/>
              <w:ind w:left="100" w:right="0" w:firstLine="3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Envío de información por correo electrónico sobre actuaciones y servicios de la empresa.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3"/>
              </w:tabs>
              <w:spacing w:after="0" w:before="0" w:line="204" w:lineRule="auto"/>
              <w:ind w:left="100" w:right="0" w:firstLine="3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Realización de reportajes de fotos y video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3"/>
              </w:tabs>
              <w:spacing w:after="0" w:before="0" w:line="204" w:lineRule="auto"/>
              <w:ind w:left="100" w:right="0" w:firstLine="3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Recepción de la prestación de un servicio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3"/>
              </w:tabs>
              <w:spacing w:after="0" w:before="0" w:line="204" w:lineRule="auto"/>
              <w:ind w:left="100" w:right="0" w:firstLine="3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Realización de tratamientos sanitarios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3"/>
              </w:tabs>
              <w:spacing w:after="0" w:before="0" w:line="204" w:lineRule="auto"/>
              <w:ind w:left="100" w:right="0" w:firstLine="3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Obtención, desarrollo y almacenamiento del historial clínico del paciente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3"/>
              </w:tabs>
              <w:spacing w:after="0" w:before="0" w:line="204" w:lineRule="auto"/>
              <w:ind w:left="100" w:right="0" w:firstLine="3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Mantenimiento de la relación con la entidad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3"/>
              </w:tabs>
              <w:spacing w:after="0" w:before="0" w:line="204" w:lineRule="auto"/>
              <w:ind w:left="100" w:right="0" w:firstLine="3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Otras actividades desarrolladas por la entidad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3"/>
              </w:tabs>
              <w:spacing w:after="0" w:before="0" w:line="204" w:lineRule="auto"/>
              <w:ind w:left="100" w:right="0" w:firstLine="3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Realización de proyecto para cliente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3"/>
              </w:tabs>
              <w:spacing w:after="0" w:before="0" w:line="217" w:lineRule="auto"/>
              <w:ind w:left="100" w:right="0" w:firstLine="3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Cobro de cuotas pertinentes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7" w:hRule="atLeast"/>
          <w:tblHeader w:val="0"/>
        </w:trPr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240" w:lineRule="auto"/>
              <w:ind w:left="94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Legitimación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3"/>
              </w:tabs>
              <w:spacing w:after="0" w:before="63" w:line="217" w:lineRule="auto"/>
              <w:ind w:left="232" w:right="0" w:hanging="9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Consentimiento inequívoco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3"/>
              </w:tabs>
              <w:spacing w:after="0" w:before="0" w:line="217" w:lineRule="auto"/>
              <w:ind w:left="232" w:right="0" w:hanging="9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Proteger el interes vital de un afectado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9" w:hRule="atLeast"/>
          <w:tblHeader w:val="0"/>
        </w:trPr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240" w:lineRule="auto"/>
              <w:ind w:left="94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Destinatarios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3"/>
              </w:tabs>
              <w:spacing w:after="0" w:before="63" w:line="217" w:lineRule="auto"/>
              <w:ind w:left="232" w:right="0" w:hanging="9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Bancos y entidades financieras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3"/>
              </w:tabs>
              <w:spacing w:after="0" w:before="0" w:line="204" w:lineRule="auto"/>
              <w:ind w:left="232" w:right="0" w:hanging="9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Tutores legales del afectado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3"/>
              </w:tabs>
              <w:spacing w:after="0" w:before="0" w:line="204" w:lineRule="auto"/>
              <w:ind w:left="232" w:right="0" w:hanging="9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otros responsables del tratamiento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3"/>
              </w:tabs>
              <w:spacing w:after="0" w:before="0" w:line="204" w:lineRule="auto"/>
              <w:ind w:left="232" w:right="0" w:hanging="9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Entidades del ámbito sanitario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3"/>
              </w:tabs>
              <w:spacing w:after="0" w:before="0" w:line="217" w:lineRule="auto"/>
              <w:ind w:left="232" w:right="0" w:hanging="9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Entidades de Consultoría/Auditoría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7" w:hRule="atLeast"/>
          <w:tblHeader w:val="0"/>
        </w:trPr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240" w:lineRule="auto"/>
              <w:ind w:left="94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Derechos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" w:line="213" w:lineRule="auto"/>
              <w:ind w:left="100" w:right="16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Tiene derecho a acceder, rectificar y suprimir los datos, así como otros derechos, como se explica en la información adicional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3" w:hRule="atLeast"/>
          <w:tblHeader w:val="0"/>
        </w:trPr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240" w:lineRule="auto"/>
              <w:ind w:left="94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Procedencia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3"/>
              </w:tabs>
              <w:spacing w:after="0" w:before="63" w:line="240" w:lineRule="auto"/>
              <w:ind w:left="232" w:right="0" w:hanging="96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Procedentes de una cesión legítima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7" w:hRule="atLeast"/>
          <w:tblHeader w:val="0"/>
        </w:trPr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" w:line="240" w:lineRule="auto"/>
              <w:ind w:left="94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Información adicional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" w:line="213" w:lineRule="auto"/>
              <w:ind w:left="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83838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Puede consultar la información adicional y detallada sobre Protección de Datos en el siguiente enlace: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3379b6"/>
                  <w:sz w:val="20"/>
                  <w:szCs w:val="20"/>
                  <w:u w:val="none"/>
                  <w:shd w:fill="auto" w:val="clear"/>
                  <w:vertAlign w:val="baseline"/>
                  <w:rtl w:val="0"/>
                </w:rPr>
                <w:t xml:space="preserve">(Información Adicional)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tabs>
          <w:tab w:val="left" w:leader="none" w:pos="5777"/>
        </w:tabs>
        <w:ind w:left="190" w:firstLine="0"/>
        <w:rPr>
          <w:color w:val="383838"/>
          <w:sz w:val="20"/>
          <w:szCs w:val="20"/>
        </w:rPr>
      </w:pPr>
      <w:r w:rsidDel="00000000" w:rsidR="00000000" w:rsidRPr="00000000">
        <w:rPr>
          <w:b w:val="1"/>
          <w:color w:val="383838"/>
          <w:sz w:val="20"/>
          <w:szCs w:val="20"/>
          <w:rtl w:val="0"/>
        </w:rPr>
        <w:t xml:space="preserve">Firma empresa: TYMBALS DIPERCUSION, S.C.</w:t>
        <w:tab/>
      </w:r>
      <w:r w:rsidDel="00000000" w:rsidR="00000000" w:rsidRPr="00000000">
        <w:rPr>
          <w:color w:val="383838"/>
          <w:sz w:val="20"/>
          <w:szCs w:val="20"/>
          <w:rtl w:val="0"/>
        </w:rPr>
        <w:t xml:space="preserve">Firma interesado/a:</w:t>
      </w:r>
    </w:p>
    <w:p w:rsidR="00000000" w:rsidDel="00000000" w:rsidP="00000000" w:rsidRDefault="00000000" w:rsidRPr="00000000" w14:paraId="00000037">
      <w:pPr>
        <w:tabs>
          <w:tab w:val="left" w:leader="none" w:pos="5777"/>
        </w:tabs>
        <w:ind w:left="190" w:firstLine="0"/>
        <w:rPr>
          <w:color w:val="383838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142875</wp:posOffset>
            </wp:positionH>
            <wp:positionV relativeFrom="paragraph">
              <wp:posOffset>171450</wp:posOffset>
            </wp:positionV>
            <wp:extent cx="973138" cy="673198"/>
            <wp:effectExtent b="0" l="0" r="0" t="0"/>
            <wp:wrapSquare wrapText="bothSides" distB="114300" distT="114300" distL="114300" distR="114300"/>
            <wp:docPr id="3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73138" cy="67319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8">
      <w:pPr>
        <w:tabs>
          <w:tab w:val="left" w:leader="none" w:pos="5777"/>
        </w:tabs>
        <w:ind w:left="190" w:firstLine="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40" w:w="11920" w:orient="portrait"/>
      <w:pgMar w:bottom="280" w:top="425.1968503937008" w:left="260" w:right="26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•"/>
      <w:lvlJc w:val="left"/>
      <w:pPr>
        <w:ind w:left="100" w:hanging="97"/>
      </w:pPr>
      <w:rPr>
        <w:rFonts w:ascii="Arial" w:cs="Arial" w:eastAsia="Arial" w:hAnsi="Arial"/>
        <w:color w:val="383838"/>
        <w:sz w:val="20"/>
        <w:szCs w:val="20"/>
      </w:rPr>
    </w:lvl>
    <w:lvl w:ilvl="1">
      <w:start w:val="1"/>
      <w:numFmt w:val="bullet"/>
      <w:lvlText w:val="•"/>
      <w:lvlJc w:val="left"/>
      <w:pPr>
        <w:ind w:left="869" w:hanging="97"/>
      </w:pPr>
      <w:rPr/>
    </w:lvl>
    <w:lvl w:ilvl="2">
      <w:start w:val="1"/>
      <w:numFmt w:val="bullet"/>
      <w:lvlText w:val="•"/>
      <w:lvlJc w:val="left"/>
      <w:pPr>
        <w:ind w:left="1639" w:hanging="96.99999999999977"/>
      </w:pPr>
      <w:rPr/>
    </w:lvl>
    <w:lvl w:ilvl="3">
      <w:start w:val="1"/>
      <w:numFmt w:val="bullet"/>
      <w:lvlText w:val="•"/>
      <w:lvlJc w:val="left"/>
      <w:pPr>
        <w:ind w:left="2409" w:hanging="97"/>
      </w:pPr>
      <w:rPr/>
    </w:lvl>
    <w:lvl w:ilvl="4">
      <w:start w:val="1"/>
      <w:numFmt w:val="bullet"/>
      <w:lvlText w:val="•"/>
      <w:lvlJc w:val="left"/>
      <w:pPr>
        <w:ind w:left="3179" w:hanging="97"/>
      </w:pPr>
      <w:rPr/>
    </w:lvl>
    <w:lvl w:ilvl="5">
      <w:start w:val="1"/>
      <w:numFmt w:val="bullet"/>
      <w:lvlText w:val="•"/>
      <w:lvlJc w:val="left"/>
      <w:pPr>
        <w:ind w:left="3949" w:hanging="97"/>
      </w:pPr>
      <w:rPr/>
    </w:lvl>
    <w:lvl w:ilvl="6">
      <w:start w:val="1"/>
      <w:numFmt w:val="bullet"/>
      <w:lvlText w:val="•"/>
      <w:lvlJc w:val="left"/>
      <w:pPr>
        <w:ind w:left="4719" w:hanging="97"/>
      </w:pPr>
      <w:rPr/>
    </w:lvl>
    <w:lvl w:ilvl="7">
      <w:start w:val="1"/>
      <w:numFmt w:val="bullet"/>
      <w:lvlText w:val="•"/>
      <w:lvlJc w:val="left"/>
      <w:pPr>
        <w:ind w:left="5489" w:hanging="97.00000000000091"/>
      </w:pPr>
      <w:rPr/>
    </w:lvl>
    <w:lvl w:ilvl="8">
      <w:start w:val="1"/>
      <w:numFmt w:val="bullet"/>
      <w:lvlText w:val="•"/>
      <w:lvlJc w:val="left"/>
      <w:pPr>
        <w:ind w:left="6259" w:hanging="97.00000000000091"/>
      </w:pPr>
      <w:rPr/>
    </w:lvl>
  </w:abstractNum>
  <w:abstractNum w:abstractNumId="2">
    <w:lvl w:ilvl="0">
      <w:start w:val="1"/>
      <w:numFmt w:val="bullet"/>
      <w:lvlText w:val="•"/>
      <w:lvlJc w:val="left"/>
      <w:pPr>
        <w:ind w:left="232" w:hanging="97"/>
      </w:pPr>
      <w:rPr>
        <w:rFonts w:ascii="Arial" w:cs="Arial" w:eastAsia="Arial" w:hAnsi="Arial"/>
        <w:color w:val="383838"/>
        <w:sz w:val="20"/>
        <w:szCs w:val="20"/>
      </w:rPr>
    </w:lvl>
    <w:lvl w:ilvl="1">
      <w:start w:val="1"/>
      <w:numFmt w:val="bullet"/>
      <w:lvlText w:val="•"/>
      <w:lvlJc w:val="left"/>
      <w:pPr>
        <w:ind w:left="995" w:hanging="97"/>
      </w:pPr>
      <w:rPr/>
    </w:lvl>
    <w:lvl w:ilvl="2">
      <w:start w:val="1"/>
      <w:numFmt w:val="bullet"/>
      <w:lvlText w:val="•"/>
      <w:lvlJc w:val="left"/>
      <w:pPr>
        <w:ind w:left="1751" w:hanging="97"/>
      </w:pPr>
      <w:rPr/>
    </w:lvl>
    <w:lvl w:ilvl="3">
      <w:start w:val="1"/>
      <w:numFmt w:val="bullet"/>
      <w:lvlText w:val="•"/>
      <w:lvlJc w:val="left"/>
      <w:pPr>
        <w:ind w:left="2507" w:hanging="97"/>
      </w:pPr>
      <w:rPr/>
    </w:lvl>
    <w:lvl w:ilvl="4">
      <w:start w:val="1"/>
      <w:numFmt w:val="bullet"/>
      <w:lvlText w:val="•"/>
      <w:lvlJc w:val="left"/>
      <w:pPr>
        <w:ind w:left="3263" w:hanging="97"/>
      </w:pPr>
      <w:rPr/>
    </w:lvl>
    <w:lvl w:ilvl="5">
      <w:start w:val="1"/>
      <w:numFmt w:val="bullet"/>
      <w:lvlText w:val="•"/>
      <w:lvlJc w:val="left"/>
      <w:pPr>
        <w:ind w:left="4019" w:hanging="97"/>
      </w:pPr>
      <w:rPr/>
    </w:lvl>
    <w:lvl w:ilvl="6">
      <w:start w:val="1"/>
      <w:numFmt w:val="bullet"/>
      <w:lvlText w:val="•"/>
      <w:lvlJc w:val="left"/>
      <w:pPr>
        <w:ind w:left="4775" w:hanging="97"/>
      </w:pPr>
      <w:rPr/>
    </w:lvl>
    <w:lvl w:ilvl="7">
      <w:start w:val="1"/>
      <w:numFmt w:val="bullet"/>
      <w:lvlText w:val="•"/>
      <w:lvlJc w:val="left"/>
      <w:pPr>
        <w:ind w:left="5531" w:hanging="97"/>
      </w:pPr>
      <w:rPr/>
    </w:lvl>
    <w:lvl w:ilvl="8">
      <w:start w:val="1"/>
      <w:numFmt w:val="bullet"/>
      <w:lvlText w:val="•"/>
      <w:lvlJc w:val="left"/>
      <w:pPr>
        <w:ind w:left="6287" w:hanging="97"/>
      </w:pPr>
      <w:rPr/>
    </w:lvl>
  </w:abstractNum>
  <w:abstractNum w:abstractNumId="3">
    <w:lvl w:ilvl="0">
      <w:start w:val="1"/>
      <w:numFmt w:val="bullet"/>
      <w:lvlText w:val="•"/>
      <w:lvlJc w:val="left"/>
      <w:pPr>
        <w:ind w:left="232" w:hanging="97"/>
      </w:pPr>
      <w:rPr>
        <w:rFonts w:ascii="Arial" w:cs="Arial" w:eastAsia="Arial" w:hAnsi="Arial"/>
        <w:color w:val="383838"/>
        <w:sz w:val="20"/>
        <w:szCs w:val="20"/>
      </w:rPr>
    </w:lvl>
    <w:lvl w:ilvl="1">
      <w:start w:val="1"/>
      <w:numFmt w:val="bullet"/>
      <w:lvlText w:val="•"/>
      <w:lvlJc w:val="left"/>
      <w:pPr>
        <w:ind w:left="995" w:hanging="97"/>
      </w:pPr>
      <w:rPr/>
    </w:lvl>
    <w:lvl w:ilvl="2">
      <w:start w:val="1"/>
      <w:numFmt w:val="bullet"/>
      <w:lvlText w:val="•"/>
      <w:lvlJc w:val="left"/>
      <w:pPr>
        <w:ind w:left="1751" w:hanging="97"/>
      </w:pPr>
      <w:rPr/>
    </w:lvl>
    <w:lvl w:ilvl="3">
      <w:start w:val="1"/>
      <w:numFmt w:val="bullet"/>
      <w:lvlText w:val="•"/>
      <w:lvlJc w:val="left"/>
      <w:pPr>
        <w:ind w:left="2507" w:hanging="97"/>
      </w:pPr>
      <w:rPr/>
    </w:lvl>
    <w:lvl w:ilvl="4">
      <w:start w:val="1"/>
      <w:numFmt w:val="bullet"/>
      <w:lvlText w:val="•"/>
      <w:lvlJc w:val="left"/>
      <w:pPr>
        <w:ind w:left="3263" w:hanging="97"/>
      </w:pPr>
      <w:rPr/>
    </w:lvl>
    <w:lvl w:ilvl="5">
      <w:start w:val="1"/>
      <w:numFmt w:val="bullet"/>
      <w:lvlText w:val="•"/>
      <w:lvlJc w:val="left"/>
      <w:pPr>
        <w:ind w:left="4019" w:hanging="97"/>
      </w:pPr>
      <w:rPr/>
    </w:lvl>
    <w:lvl w:ilvl="6">
      <w:start w:val="1"/>
      <w:numFmt w:val="bullet"/>
      <w:lvlText w:val="•"/>
      <w:lvlJc w:val="left"/>
      <w:pPr>
        <w:ind w:left="4775" w:hanging="97"/>
      </w:pPr>
      <w:rPr/>
    </w:lvl>
    <w:lvl w:ilvl="7">
      <w:start w:val="1"/>
      <w:numFmt w:val="bullet"/>
      <w:lvlText w:val="•"/>
      <w:lvlJc w:val="left"/>
      <w:pPr>
        <w:ind w:left="5531" w:hanging="97"/>
      </w:pPr>
      <w:rPr/>
    </w:lvl>
    <w:lvl w:ilvl="8">
      <w:start w:val="1"/>
      <w:numFmt w:val="bullet"/>
      <w:lvlText w:val="•"/>
      <w:lvlJc w:val="left"/>
      <w:pPr>
        <w:ind w:left="6287" w:hanging="97"/>
      </w:pPr>
      <w:rPr/>
    </w:lvl>
  </w:abstractNum>
  <w:abstractNum w:abstractNumId="4">
    <w:lvl w:ilvl="0">
      <w:start w:val="1"/>
      <w:numFmt w:val="bullet"/>
      <w:lvlText w:val="•"/>
      <w:lvlJc w:val="left"/>
      <w:pPr>
        <w:ind w:left="232" w:hanging="97"/>
      </w:pPr>
      <w:rPr>
        <w:rFonts w:ascii="Arial" w:cs="Arial" w:eastAsia="Arial" w:hAnsi="Arial"/>
        <w:color w:val="383838"/>
        <w:sz w:val="20"/>
        <w:szCs w:val="20"/>
      </w:rPr>
    </w:lvl>
    <w:lvl w:ilvl="1">
      <w:start w:val="1"/>
      <w:numFmt w:val="bullet"/>
      <w:lvlText w:val="•"/>
      <w:lvlJc w:val="left"/>
      <w:pPr>
        <w:ind w:left="995" w:hanging="97"/>
      </w:pPr>
      <w:rPr/>
    </w:lvl>
    <w:lvl w:ilvl="2">
      <w:start w:val="1"/>
      <w:numFmt w:val="bullet"/>
      <w:lvlText w:val="•"/>
      <w:lvlJc w:val="left"/>
      <w:pPr>
        <w:ind w:left="1751" w:hanging="97"/>
      </w:pPr>
      <w:rPr/>
    </w:lvl>
    <w:lvl w:ilvl="3">
      <w:start w:val="1"/>
      <w:numFmt w:val="bullet"/>
      <w:lvlText w:val="•"/>
      <w:lvlJc w:val="left"/>
      <w:pPr>
        <w:ind w:left="2507" w:hanging="97"/>
      </w:pPr>
      <w:rPr/>
    </w:lvl>
    <w:lvl w:ilvl="4">
      <w:start w:val="1"/>
      <w:numFmt w:val="bullet"/>
      <w:lvlText w:val="•"/>
      <w:lvlJc w:val="left"/>
      <w:pPr>
        <w:ind w:left="3263" w:hanging="97"/>
      </w:pPr>
      <w:rPr/>
    </w:lvl>
    <w:lvl w:ilvl="5">
      <w:start w:val="1"/>
      <w:numFmt w:val="bullet"/>
      <w:lvlText w:val="•"/>
      <w:lvlJc w:val="left"/>
      <w:pPr>
        <w:ind w:left="4019" w:hanging="97"/>
      </w:pPr>
      <w:rPr/>
    </w:lvl>
    <w:lvl w:ilvl="6">
      <w:start w:val="1"/>
      <w:numFmt w:val="bullet"/>
      <w:lvlText w:val="•"/>
      <w:lvlJc w:val="left"/>
      <w:pPr>
        <w:ind w:left="4775" w:hanging="97"/>
      </w:pPr>
      <w:rPr/>
    </w:lvl>
    <w:lvl w:ilvl="7">
      <w:start w:val="1"/>
      <w:numFmt w:val="bullet"/>
      <w:lvlText w:val="•"/>
      <w:lvlJc w:val="left"/>
      <w:pPr>
        <w:ind w:left="5531" w:hanging="97"/>
      </w:pPr>
      <w:rPr/>
    </w:lvl>
    <w:lvl w:ilvl="8">
      <w:start w:val="1"/>
      <w:numFmt w:val="bullet"/>
      <w:lvlText w:val="•"/>
      <w:lvlJc w:val="left"/>
      <w:pPr>
        <w:ind w:left="6287" w:hanging="97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uiPriority w:val="1"/>
    <w:qFormat w:val="1"/>
    <w:rsid w:val="009F40C9"/>
    <w:rPr>
      <w:rFonts w:ascii="Arial" w:cs="Arial" w:eastAsia="Arial" w:hAnsi="Arial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rsid w:val="009F40C9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  <w:rsid w:val="009F40C9"/>
    <w:rPr>
      <w:sz w:val="21"/>
      <w:szCs w:val="21"/>
    </w:rPr>
  </w:style>
  <w:style w:type="paragraph" w:styleId="Prrafodelista">
    <w:name w:val="List Paragraph"/>
    <w:basedOn w:val="Normal"/>
    <w:uiPriority w:val="1"/>
    <w:qFormat w:val="1"/>
    <w:rsid w:val="009F40C9"/>
  </w:style>
  <w:style w:type="paragraph" w:styleId="TableParagraph" w:customStyle="1">
    <w:name w:val="Table Paragraph"/>
    <w:basedOn w:val="Normal"/>
    <w:uiPriority w:val="1"/>
    <w:qFormat w:val="1"/>
    <w:rsid w:val="009F40C9"/>
    <w:pPr>
      <w:spacing w:line="204" w:lineRule="exact"/>
      <w:ind w:left="100" w:firstLine="36"/>
    </w:pPr>
  </w:style>
  <w:style w:type="table" w:styleId="Tablaconcuadrcula">
    <w:name w:val="Table Grid"/>
    <w:basedOn w:val="Tablanormal"/>
    <w:uiPriority w:val="59"/>
    <w:rsid w:val="00252CBC"/>
    <w:tblPr>
      <w:tblInd w:w="0.0" w:type="dxa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252CBC"/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252CBC"/>
    <w:rPr>
      <w:rFonts w:ascii="Tahoma" w:cs="Tahoma" w:eastAsia="Arial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intranet.laboralrgpd.com/rgpdA/index.php?sid=YkpSTlpHdy9mNDJCNHVZVHpvMXN3dz09" TargetMode="External"/><Relationship Id="rId8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B3NtKk2cCPGCIje5RTH0DSv82GA==">AMUW2mWzIps7u+OzZcVDoafQqBsc9YhxtBc1XMAjvcb++IE0VomtF+ZTOwjd4hhouMtjZl1e9MbifHLJHyntA+uElIx2ZdkiqeW6mQ1dr13KJ/c//ZjGxVQ=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2019-10-07T12:59:00Z</dcterms:created>
  <dc:creator>LaboralGroup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2019-10-07T00:00:00Z</vt:filetime>
  </property>
</Properties>
</file>